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E5B3F"/>
          <w:sz w:val="30"/>
          <w:szCs w:val="30"/>
        </w:rPr>
        <w:t xml:space="preserve">MODELO DE MEMORIA DEL DEUDOR</w:t>
      </w:r>
    </w:p>
    <w:p>
      <w:pPr>
        <w:spacing w:after="6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Memoria expresiva de la historia económica y jurídica del deudor en la solicitud de concurso voluntario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Artículo 7.1.º del texto refundido de la Ley Concursal y memorias complementarias del artículo 8.1.2.º y 3.º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single" w:color="1E5B3F" w:sz="24"/>
              <w:bottom w:val="none" w:color="FFFFFF" w:sz="0"/>
              <w:right w:val="none" w:color="FFFFFF" w:sz="0"/>
            </w:tcBorders>
            <w:shd w:fill="EAF3EE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5B3F"/>
                <w:sz w:val="22"/>
                <w:szCs w:val="22"/>
              </w:rPr>
              <w:t xml:space="preserve">Cómo utilizar este modelo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El modelo sigue el orden del artículo 7.1.º TRLC: historia económica y jurídica, actividad de los tres últimos años, establecimientos y causas de la insolvencia, más los datos de socios, administradores, auditor y grupo.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Los textos entre corchetes [●] deben completarse. Los recuadros de color son notas de apoyo y deben eliminarse antes de presentar el escrito.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Todos los datos del ejemplo (sociedad, personas, cifras y domicilios) son ficticios y se incluyen solo a efectos ilustrativos.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ENCABEZAMIENTO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color w:val="1E5B3F"/>
          <w:sz w:val="22"/>
          <w:szCs w:val="22"/>
        </w:rPr>
        <w:t xml:space="preserve">AL [ÓRGANO JUDICIAL COMPETENTE: SECCIÓN DE LO MERCANTIL DEL TRIBUNAL DE INSTANCIA / JUZGADO DE LO MERCANTIL] DE [●]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MEMORIA que se acompaña a la solicitud de declaración de concurso voluntario de MANUFACTURAS EJEMPLO, S.L., en cumplimiento del artículo 7.1.º del texto refundido de la Ley Concursal, aprobado por Real Decreto Legislativo 1/2020, de 5 de mayo.</w:t>
      </w: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1.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IDENTIFICACIÓN DEL DEUDOR</w:t>
            </w:r>
          </w:p>
        </w:tc>
      </w:tr>
    </w:tbl>
    <w:p>
      <w:pPr>
        <w:spacing w:after="8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5604"/>
      </w:tblGrid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Denominación social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MANUFACTURAS EJEMPLO, S.L. (sociedad ficticia)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NIF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B-00000000 (ficticio)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Domicilio social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Polígono Industrial [●], nave 4, [código postal] [localidad] ([provincia])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Datos registrales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Registro Mercantil de [●], tomo [●], folio [●], hoja [●]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Forma social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Sociedad de responsabilidad limitada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Capital social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60.000 euros, íntegramente desembolsado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Actividad principal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Fabricación y distribución de mobiliario de oficina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Dirección electrónica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[●]@[●]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2.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HISTORIA JURÍDICA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sociedad se constituyó mediante escritura pública otorgada el [●] de marzo de 2011 ante el notario de [●], con un capital de 3.000 euros. Su objeto social comprende el diseño, la fabricación, la comercialización y el montaje de mobiliario de oficina y equipamiento para espacios de trabajo.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Desde su constitución se han producido las siguientes modificaciones relevantes: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100"/>
        <w:gridCol w:w="4904"/>
      </w:tblGrid>
      <w:tr>
        <w:trPr>
          <w:cantSplit/>
          <w:tblHeader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2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Acto</w:t>
            </w:r>
          </w:p>
        </w:tc>
        <w:tc>
          <w:tcPr>
            <w:tcW w:type="dxa" w:w="4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Contenido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[●]/05/2015</w:t>
            </w:r>
          </w:p>
        </w:tc>
        <w:tc>
          <w:tcPr>
            <w:tcW w:type="dxa" w:w="2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Ampliación de capital</w:t>
            </w:r>
          </w:p>
        </w:tc>
        <w:tc>
          <w:tcPr>
            <w:tcW w:type="dxa" w:w="4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Aumento de 3.000 a 60.000 euros por aportaciones dinerarias de los socios.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[●]/09/2019</w:t>
            </w:r>
          </w:p>
        </w:tc>
        <w:tc>
          <w:tcPr>
            <w:tcW w:type="dxa" w:w="2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Entrada de nuevo socio</w:t>
            </w:r>
          </w:p>
        </w:tc>
        <w:tc>
          <w:tcPr>
            <w:tcW w:type="dxa" w:w="4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Adquisición del 20 % de las participaciones por D. Andrés Supuesto Gil.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[●]/02/2022</w:t>
            </w:r>
          </w:p>
        </w:tc>
        <w:tc>
          <w:tcPr>
            <w:tcW w:type="dxa" w:w="2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Traslado de domicilio</w:t>
            </w:r>
          </w:p>
        </w:tc>
        <w:tc>
          <w:tcPr>
            <w:tcW w:type="dxa" w:w="4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Cambio de domicilio social a la sede actual del polígono industrial.</w:t>
            </w:r>
          </w:p>
        </w:tc>
      </w:tr>
    </w:tbl>
    <w:p>
      <w:pPr>
        <w:spacing w:after="10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No se han producido fusiones, escisiones ni otras modificaciones estructurales. [Si las hubiera, indíquense con fecha e inscripción registral.]</w:t>
      </w: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3.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HISTORIA ECONÓMICA Y PRINCIPALES MAGNITUDES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compañía creció de forma sostenida hasta 2023, con una cartera de clientes corporativos y una red de distribución propia. A partir de 2024 la cifra de negocios cae de forma continuada y los resultados pasan a ser negativos. La evolución de las magnitudes principales, según las cuentas anuales que se acompañan, es la siguiente: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4"/>
        <w:gridCol w:w="1933"/>
        <w:gridCol w:w="1933"/>
        <w:gridCol w:w="1934"/>
      </w:tblGrid>
      <w:tr>
        <w:trPr>
          <w:cantSplit/>
          <w:tblHeader/>
        </w:trPr>
        <w:tc>
          <w:tcPr>
            <w:tcW w:type="dxa" w:w="27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Magnitud (euros)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Ejercicio 2023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Ejercicio 2024</w:t>
            </w:r>
          </w:p>
        </w:tc>
        <w:tc>
          <w:tcPr>
            <w:tcW w:type="dxa" w:w="193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Ejercicio 2025</w:t>
            </w:r>
          </w:p>
        </w:tc>
      </w:tr>
      <w:tr>
        <w:trPr>
          <w:cantSplit/>
        </w:trPr>
        <w:tc>
          <w:tcPr>
            <w:tcW w:type="dxa" w:w="27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Cifra de negocios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4.820.000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4.150.000</w:t>
            </w:r>
          </w:p>
        </w:tc>
        <w:tc>
          <w:tcPr>
            <w:tcW w:type="dxa" w:w="193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2.910.000</w:t>
            </w:r>
          </w:p>
        </w:tc>
      </w:tr>
      <w:tr>
        <w:trPr>
          <w:cantSplit/>
        </w:trPr>
        <w:tc>
          <w:tcPr>
            <w:tcW w:type="dxa" w:w="27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Resultado del ejercicio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112.000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−386.000</w:t>
            </w:r>
          </w:p>
        </w:tc>
        <w:tc>
          <w:tcPr>
            <w:tcW w:type="dxa" w:w="193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−1.072.000</w:t>
            </w:r>
          </w:p>
        </w:tc>
      </w:tr>
      <w:tr>
        <w:trPr>
          <w:cantSplit/>
        </w:trPr>
        <w:tc>
          <w:tcPr>
            <w:tcW w:type="dxa" w:w="27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Patrimonio neto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1.240.000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854.000</w:t>
            </w:r>
          </w:p>
        </w:tc>
        <w:tc>
          <w:tcPr>
            <w:tcW w:type="dxa" w:w="193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−218.000</w:t>
            </w:r>
          </w:p>
        </w:tc>
      </w:tr>
      <w:tr>
        <w:trPr>
          <w:cantSplit/>
        </w:trPr>
        <w:tc>
          <w:tcPr>
            <w:tcW w:type="dxa" w:w="27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Deuda financiera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1.310.000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1.520.000</w:t>
            </w:r>
          </w:p>
        </w:tc>
        <w:tc>
          <w:tcPr>
            <w:tcW w:type="dxa" w:w="193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1.460.000</w:t>
            </w:r>
          </w:p>
        </w:tc>
      </w:tr>
      <w:tr>
        <w:trPr>
          <w:cantSplit/>
        </w:trPr>
        <w:tc>
          <w:tcPr>
            <w:tcW w:type="dxa" w:w="27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Plantilla media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933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93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4.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ACTIVIDAD EN LOS TRES ÚLTIMOS AÑOS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Durante los ejercicios 2023 a 2025 la sociedad se ha dedicado de forma exclusiva a la fabricación y venta de mobiliario de oficina. Sus líneas de actividad han sido: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Fabricación a medida para empresas e instituciones, que en 2023 representaba el 62 % de la facturación.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Venta de producto estándar a través de distribuidores, con un peso cercano al 30 %.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Servicios de montaje y posventa, con un peso residual del 8 %.</w:t>
      </w:r>
    </w:p>
    <w:p>
      <w:pPr>
        <w:spacing w:after="6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No ha iniciado actividades nuevas ni ha abandonado ninguna de las anteriores en el periodo. [Indíquese, en su caso, cualquier cambio de actividad.]</w:t>
      </w: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5.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ESTABLECIMIENTOS, OFICINAS Y EXPLOTACIONES</w:t>
            </w:r>
          </w:p>
        </w:tc>
      </w:tr>
    </w:tbl>
    <w:p>
      <w:pPr>
        <w:spacing w:after="8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50"/>
        <w:gridCol w:w="1750"/>
        <w:gridCol w:w="1754"/>
        <w:gridCol w:w="750"/>
      </w:tblGrid>
      <w:tr>
        <w:trPr>
          <w:cantSplit/>
          <w:tblHeader/>
        </w:trPr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Centro</w:t>
            </w:r>
          </w:p>
        </w:tc>
        <w:tc>
          <w:tcPr>
            <w:tcW w:type="dxa" w:w="23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Ubicación</w:t>
            </w:r>
          </w:p>
        </w:tc>
        <w:tc>
          <w:tcPr>
            <w:tcW w:type="dxa" w:w="1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Título</w:t>
            </w:r>
          </w:p>
        </w:tc>
        <w:tc>
          <w:tcPr>
            <w:tcW w:type="dxa" w:w="175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Uso</w:t>
            </w:r>
          </w:p>
        </w:tc>
        <w:tc>
          <w:tcPr>
            <w:tcW w:type="dxa" w:w="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Trab.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Nave de producción</w:t>
            </w:r>
          </w:p>
        </w:tc>
        <w:tc>
          <w:tcPr>
            <w:tcW w:type="dxa" w:w="23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Polígono Industrial [●], nave 4</w:t>
            </w:r>
          </w:p>
        </w:tc>
        <w:tc>
          <w:tcPr>
            <w:tcW w:type="dxa" w:w="1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Arrendamiento</w:t>
            </w:r>
          </w:p>
        </w:tc>
        <w:tc>
          <w:tcPr>
            <w:tcW w:type="dxa" w:w="175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Fabricación</w:t>
            </w:r>
          </w:p>
        </w:tc>
        <w:tc>
          <w:tcPr>
            <w:tcW w:type="dxa" w:w="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Almacén y exposición</w:t>
            </w:r>
          </w:p>
        </w:tc>
        <w:tc>
          <w:tcPr>
            <w:tcW w:type="dxa" w:w="23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C/ [●], n.º [●], [localidad]</w:t>
            </w:r>
          </w:p>
        </w:tc>
        <w:tc>
          <w:tcPr>
            <w:tcW w:type="dxa" w:w="1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Propiedad (hipotecado)</w:t>
            </w:r>
          </w:p>
        </w:tc>
        <w:tc>
          <w:tcPr>
            <w:tcW w:type="dxa" w:w="175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Logística y venta</w:t>
            </w:r>
          </w:p>
        </w:tc>
        <w:tc>
          <w:tcPr>
            <w:tcW w:type="dxa" w:w="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Oficina comercial</w:t>
            </w:r>
          </w:p>
        </w:tc>
        <w:tc>
          <w:tcPr>
            <w:tcW w:type="dxa" w:w="23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C/ [●], n.º [●], [localidad]</w:t>
            </w:r>
          </w:p>
        </w:tc>
        <w:tc>
          <w:tcPr>
            <w:tcW w:type="dxa" w:w="1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Arrendamiento</w:t>
            </w:r>
          </w:p>
        </w:tc>
        <w:tc>
          <w:tcPr>
            <w:tcW w:type="dxa" w:w="175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Comercial</w:t>
            </w:r>
          </w:p>
        </w:tc>
        <w:tc>
          <w:tcPr>
            <w:tcW w:type="dxa" w:w="75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6.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SOCIOS, ADMINISTRACIÓN, AUDITORÍA Y GRUPO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color w:val="1E5B3F"/>
          <w:sz w:val="22"/>
          <w:szCs w:val="22"/>
        </w:rPr>
        <w:t xml:space="preserve">Socios de los que se tiene constancia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500"/>
        <w:gridCol w:w="3804"/>
      </w:tblGrid>
      <w:tr>
        <w:trPr>
          <w:cantSplit/>
          <w:tblHeader/>
        </w:trPr>
        <w:tc>
          <w:tcPr>
            <w:tcW w:type="dxa" w:w="3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Socio</w:t>
            </w:r>
          </w:p>
        </w:tc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Participación</w:t>
            </w:r>
          </w:p>
        </w:tc>
        <w:tc>
          <w:tcPr>
            <w:tcW w:type="dxa" w:w="38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Relación con la sociedad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D.ª Laura Ejemplo Martín</w:t>
            </w:r>
          </w:p>
        </w:tc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50 %</w:t>
            </w:r>
          </w:p>
        </w:tc>
        <w:tc>
          <w:tcPr>
            <w:tcW w:type="dxa" w:w="38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Administradora única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D. Pablo Modelo Ruiz</w:t>
            </w:r>
          </w:p>
        </w:tc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30 %</w:t>
            </w:r>
          </w:p>
        </w:tc>
        <w:tc>
          <w:tcPr>
            <w:tcW w:type="dxa" w:w="38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Director de producción (relación laboral)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D. Andrés Supuesto Gil</w:t>
            </w:r>
          </w:p>
        </w:tc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20 %</w:t>
            </w:r>
          </w:p>
        </w:tc>
        <w:tc>
          <w:tcPr>
            <w:tcW w:type="dxa" w:w="38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Ninguna distinta de la de socio</w:t>
            </w:r>
          </w:p>
        </w:tc>
      </w:tr>
    </w:tbl>
    <w:p>
      <w:pPr>
        <w:spacing w:after="10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5604"/>
      </w:tblGrid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Órgano de administración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Administradora única: D.ª Laura Ejemplo Martín, nombrada el [●]/03/2011 por plazo indefinido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Liquidadores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 existen: la sociedad no está en liquidación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Directores generales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 existen apoderados generales ni directores generales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Auditor de cuentas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La sociedad no está obligada a auditar sus cuentas ni las ha sometido a auditoría voluntaria [o, en su caso, identidad del auditor]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Valores admitidos a cotización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 tiene valores admitidos a negociación en ningún centro de negociación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4F7F5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E5B3F"/>
                <w:sz w:val="22"/>
                <w:szCs w:val="22"/>
              </w:rPr>
              <w:t xml:space="preserve">Grupo de sociedades</w:t>
            </w:r>
          </w:p>
        </w:tc>
        <w:tc>
          <w:tcPr>
            <w:tcW w:type="dxa" w:w="5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 forma parte de un grupo de sociedades [o, en su caso, relación de sociedades del grupo con identificación de la dominante]</w:t>
            </w:r>
          </w:p>
        </w:tc>
      </w:tr>
    </w:tbl>
    <w:p>
      <w:pPr>
        <w:spacing w:after="10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single" w:color="8A8A8A" w:sz="24"/>
              <w:bottom w:val="none" w:color="FFFFFF" w:sz="0"/>
              <w:right w:val="none" w:color="FFFFFF" w:sz="0"/>
            </w:tcBorders>
            <w:shd w:fill="F3F3F3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A8A8A"/>
                <w:sz w:val="22"/>
                <w:szCs w:val="22"/>
              </w:rPr>
              <w:t xml:space="preserve">Si el deudor es persona natural</w:t>
            </w:r>
          </w:p>
          <w:p>
            <w:p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Sustitúyase este apartado por los datos que exige el artículo 7.1.º, párrafo segundo, TRLC: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Si está casado: identidad del cónyuge, fecha del matrimonio, régimen económico matrimonial y, si se hubieran pactado, fecha de las capitulaciones.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Si tiene pareja inscrita: identidad de la pareja y fecha de inscripción en el registro correspondiente.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7.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PROCEDIMIENTOS Y RECLAMACIONES EN CURSO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 la fecha de esta memoria, la sociedad es parte en los siguientes procedimientos judiciales y administrativos: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900"/>
        <w:gridCol w:w="2200"/>
        <w:gridCol w:w="2404"/>
      </w:tblGrid>
      <w:tr>
        <w:trPr>
          <w:cantSplit/>
          <w:tblHeader/>
        </w:trPr>
        <w:tc>
          <w:tcPr>
            <w:tcW w:type="dxa" w:w="20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Procedimiento</w:t>
            </w:r>
          </w:p>
        </w:tc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Órgano</w:t>
            </w:r>
          </w:p>
        </w:tc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Parte actora / acreedor</w:t>
            </w:r>
          </w:p>
        </w:tc>
        <w:tc>
          <w:tcPr>
            <w:tcW w:type="dxa" w:w="24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Estado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Monitorio [●]/2026</w:t>
            </w:r>
          </w:p>
        </w:tc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Tribunal de Instancia de [●]</w:t>
            </w:r>
          </w:p>
        </w:tc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Proveedor de tableros (ficticio)</w:t>
            </w:r>
          </w:p>
        </w:tc>
        <w:tc>
          <w:tcPr>
            <w:tcW w:type="dxa" w:w="24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Requerimiento de pago pendiente de contestar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Apremio administrativo</w:t>
            </w:r>
          </w:p>
        </w:tc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AEAT</w:t>
            </w:r>
          </w:p>
        </w:tc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Agencia Tributaria</w:t>
            </w:r>
          </w:p>
        </w:tc>
        <w:tc>
          <w:tcPr>
            <w:tcW w:type="dxa" w:w="24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Diligencia de embargo sobre cuenta corriente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Reclamación extrajudicial</w:t>
            </w:r>
          </w:p>
        </w:tc>
        <w:tc>
          <w:tcPr>
            <w:tcW w:type="dxa" w:w="19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Entidad financiera</w:t>
            </w:r>
          </w:p>
        </w:tc>
        <w:tc>
          <w:tcPr>
            <w:tcW w:type="dxa" w:w="24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Vencimiento anticipado comunicado</w:t>
            </w:r>
          </w:p>
        </w:tc>
      </w:tr>
    </w:tbl>
    <w:p>
      <w:pPr>
        <w:spacing w:after="10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single" w:color="1E5B3F" w:sz="24"/>
              <w:bottom w:val="none" w:color="FFFFFF" w:sz="0"/>
              <w:right w:val="none" w:color="FFFFFF" w:sz="0"/>
            </w:tcBorders>
            <w:shd w:fill="EAF3EE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5B3F"/>
                <w:sz w:val="22"/>
                <w:szCs w:val="22"/>
              </w:rPr>
              <w:t xml:space="preserve">Nota ConcursalIA · Exactitud y coherencia</w:t>
            </w:r>
          </w:p>
          <w:p>
            <w:p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La memoria debe recoger todos los procedimientos, también los seguidos en el extranjero. La Audiencia Provincial de Barcelona advirtió inexactitudes en una memoria que afirmaba que no había procedimientos pendientes y omitía el seguido contra el deudor en otro país; también valoró que el deudor hubiera defendido su solvencia ante ese tribunal poco antes de pedir el concurso en España (AAP Barcelona, Sección 15.ª, n.º 27/2021, de 25 de febrero, ECLI:ES:APB:2021:926A, FJ 3.º, apdos. 25 y 26).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8.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CAUSAS DEL ESTADO DE INSOLVENCIA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situación actual obedece a la concurrencia de las siguientes causas: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100"/>
        <w:gridCol w:w="2204"/>
      </w:tblGrid>
      <w:tr>
        <w:trPr>
          <w:cantSplit/>
          <w:tblHeader/>
        </w:trPr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Causa</w:t>
            </w:r>
          </w:p>
        </w:tc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Descripción</w:t>
            </w:r>
          </w:p>
        </w:tc>
        <w:tc>
          <w:tcPr>
            <w:tcW w:type="dxa" w:w="22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Impacto estimado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Pérdida del cliente principal</w:t>
            </w:r>
          </w:p>
        </w:tc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 abril de 2024 finalizó el contrato marco con el principal cliente corporativo, que no fue renovado.</w:t>
            </w:r>
          </w:p>
        </w:tc>
        <w:tc>
          <w:tcPr>
            <w:tcW w:type="dxa" w:w="22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Pérdida del 35 % de la facturación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Incremento de costes</w:t>
            </w:r>
          </w:p>
        </w:tc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Subida del precio del tablero y del acero y de la factura energética entre 2023 y 2025.</w:t>
            </w:r>
          </w:p>
        </w:tc>
        <w:tc>
          <w:tcPr>
            <w:tcW w:type="dxa" w:w="22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Reducción del margen bruto de 11 puntos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Fin de la carencia financiera</w:t>
            </w:r>
          </w:p>
        </w:tc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Terminó la carencia de un préstamo con aval público y comenzaron a pagarse cuotas de principal.</w:t>
            </w:r>
          </w:p>
        </w:tc>
        <w:tc>
          <w:tcPr>
            <w:tcW w:type="dxa" w:w="22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Salida de caja de 21.000 euros/mes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Insolvencia de un cliente</w:t>
            </w:r>
          </w:p>
        </w:tc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 distribuidor fue declarado en concurso en 2025 con un saldo pendiente a favor de la sociedad.</w:t>
            </w:r>
          </w:p>
        </w:tc>
        <w:tc>
          <w:tcPr>
            <w:tcW w:type="dxa" w:w="22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Crédito de 310.000 euros de cobro incierto</w:t>
            </w:r>
          </w:p>
        </w:tc>
      </w:tr>
    </w:tbl>
    <w:p>
      <w:pPr>
        <w:spacing w:after="10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Para corregir la situación, la sociedad redujo la plantilla en nueve personas, cerró una línea de producto y propuso a sus acreedores financieros una reestructuración de la deuda, que no llegó a acordarse. [Descríbanse con fechas las medidas adoptadas: son relevantes para la calificación.]</w:t>
      </w: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9.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ESTADO DE INSOLVENCIA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sociedad se encuentra en estado de insolvencia actual: no puede cumplir regularmente sus obligaciones exigibles. A 31 de agosto de 2026 su posición de liquidez es la siguiente: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4"/>
        <w:gridCol w:w="2600"/>
      </w:tblGrid>
      <w:tr>
        <w:trPr>
          <w:cantSplit/>
          <w:tblHeader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Concepto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Importe (euros)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Tesorería disponible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41.000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Obligaciones vencidas e impagadas: proveedores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284.000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Obligaciones vencidas e impagadas: Agencia Tributaria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96.000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Obligaciones vencidas e impagadas: Seguridad Social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71.000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Obligaciones vencidas e impagadas: entidades financieras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161.000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Vencimientos previstos en los tres meses siguientes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540.000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Cobros previstos en los tres meses siguientes</w:t>
            </w:r>
          </w:p>
        </w:tc>
        <w:tc>
          <w:tcPr>
            <w:tcW w:type="dxa" w:w="26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290.000</w:t>
            </w:r>
          </w:p>
        </w:tc>
      </w:tr>
    </w:tbl>
    <w:p>
      <w:pPr>
        <w:spacing w:after="10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sociedad tuvo conocimiento de esta situación el [●] de [●] de 2026, cuando [descríbase el hecho: impago de nóminas, denegación de financiación, embargo, etc.]. La solicitud se presenta dentro de los dos meses siguientes a esa fecha.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single" w:color="1E5B3F" w:sz="24"/>
              <w:bottom w:val="none" w:color="FFFFFF" w:sz="0"/>
              <w:right w:val="none" w:color="FFFFFF" w:sz="0"/>
            </w:tcBorders>
            <w:shd w:fill="EAF3EE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5B3F"/>
                <w:sz w:val="22"/>
                <w:szCs w:val="22"/>
              </w:rPr>
              <w:t xml:space="preserve">Nota ConcursalIA · Insolvencia no es desbalance</w:t>
            </w:r>
          </w:p>
          <w:p>
            <w:p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Explique la insolvencia con datos de tesorería y vencimientos, no solo con el balance. El Tribunal Supremo ha declarado que «aunque con frecuencia se solapen, insolvencia y desbalance patrimonial no son equivalentes»: puede haber patrimonio neto negativo sin insolvencia y activo superior al pasivo sin liquidez para pagar (STS, Sala 1.ª, n.º 122/2014, de 1 de abril, ECLI:ES:TS:2014:1368, FD 13.º, apdo. 2).</w:t>
            </w:r>
          </w:p>
          <w:p>
            <w:p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Si se alega insolvencia inminente, el pronóstico debe apoyarse en datos objetivos e inequívocos, no en meras especulaciones (AAP Barcelona n.º 27/2021, cit., FJ 3.º, apdos. 17 y 24).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10.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HECHOS POSTERIORES A LAS ÚLTIMAS CUENTAS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Las últimas cuentas anuales, correspondientes al ejercicio 2025, fueron formuladas el [●]/03/2026, aprobadas el [●]/06/2026 y depositadas el [●]/[●]/2026. Con posterioridad se han producido los siguientes hechos:</w:t>
      </w:r>
    </w:p>
    <w:p>
      <w:pPr>
        <w:spacing w:after="100" w:line="276"/>
        <w:jc w:val="both"/>
      </w:pPr>
      <w:r>
        <w:rPr>
          <w:rFonts w:ascii="Arial" w:cs="Arial" w:eastAsia="Arial" w:hAnsi="Arial"/>
          <w:color w:val="1E5B3F"/>
          <w:sz w:val="22"/>
          <w:szCs w:val="22"/>
        </w:rPr>
        <w:t xml:space="preserve">Cambios significativos en el patrimonio (art. 8.1.2.º TRLC)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3504"/>
      </w:tblGrid>
      <w:tr>
        <w:trPr>
          <w:cantSplit/>
          <w:tblHeader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3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Hecho</w:t>
            </w:r>
          </w:p>
        </w:tc>
        <w:tc>
          <w:tcPr>
            <w:tcW w:type="dxa" w:w="35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Efecto patrimonial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[●]/05/2026</w:t>
            </w:r>
          </w:p>
        </w:tc>
        <w:tc>
          <w:tcPr>
            <w:tcW w:type="dxa" w:w="3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Venta de dos máquinas de corte</w:t>
            </w:r>
          </w:p>
        </w:tc>
        <w:tc>
          <w:tcPr>
            <w:tcW w:type="dxa" w:w="35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Baja de inmovilizado; ingreso de 48.000 euros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[●]/07/2026</w:t>
            </w:r>
          </w:p>
        </w:tc>
        <w:tc>
          <w:tcPr>
            <w:tcW w:type="dxa" w:w="3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Embargo de la AEAT sobre cuenta corriente</w:t>
            </w:r>
          </w:p>
        </w:tc>
        <w:tc>
          <w:tcPr>
            <w:tcW w:type="dxa" w:w="35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Retención de 12.500 euros de tesorería</w:t>
            </w:r>
          </w:p>
        </w:tc>
      </w:tr>
    </w:tbl>
    <w:p>
      <w:pPr>
        <w:spacing w:after="10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color w:val="1E5B3F"/>
          <w:sz w:val="22"/>
          <w:szCs w:val="22"/>
        </w:rPr>
        <w:t xml:space="preserve">Operaciones ajenas al giro o tráfico ordinario (art. 8.1.3.º TRLC)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000"/>
        <w:gridCol w:w="4004"/>
      </w:tblGrid>
      <w:tr>
        <w:trPr>
          <w:cantSplit/>
          <w:tblHeader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30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Operación</w:t>
            </w:r>
          </w:p>
        </w:tc>
        <w:tc>
          <w:tcPr>
            <w:tcW w:type="dxa" w:w="40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Contraparte y condiciones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[●]/05/2026</w:t>
            </w:r>
          </w:p>
        </w:tc>
        <w:tc>
          <w:tcPr>
            <w:tcW w:type="dxa" w:w="30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Venta de maquinaria productiva</w:t>
            </w:r>
          </w:p>
        </w:tc>
        <w:tc>
          <w:tcPr>
            <w:tcW w:type="dxa" w:w="40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Tercero no vinculado; precio de 48.000 euros, fijado según tasación; destinado al pago de nóminas</w:t>
            </w:r>
          </w:p>
        </w:tc>
      </w:tr>
    </w:tbl>
    <w:p>
      <w:pPr>
        <w:spacing w:after="10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No se han realizado operaciones con socios, administradores ni otras personas especialmente relacionadas con la sociedad. [Si las hubiera, descríbanse con detalle.]</w:t>
      </w: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11.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DOCUMENTACIÓN QUE SE ACOMPAÑA</w:t>
            </w:r>
          </w:p>
        </w:tc>
      </w:tr>
    </w:tbl>
    <w:p>
      <w:pPr>
        <w:spacing w:after="8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1800"/>
        <w:gridCol w:w="2604"/>
      </w:tblGrid>
      <w:tr>
        <w:trPr>
          <w:cantSplit/>
          <w:tblHeader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Documento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Precepto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1E5B3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Situación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Poder especial para solicitar el concurso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6.2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Se acompaña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Memoria (el presente documento)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7.1.º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Se acompaña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Inventario de bienes y derechos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7.2.º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Se acompaña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Relación de acreedores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7.3.º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Se acompaña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Relación de trabajadores y representantes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7.4.º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Se acompaña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Cuentas anuales 2023, 2024 y 2025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8.1.1.º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Se acompañan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Memorias de cambios y operaciones posteriores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8.1.2.º y 3.º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☒ Incluidas en el apartado 10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Cuentas consolidadas y operaciones intragrupo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8.2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shd w:fill="F7FA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No procede: no hay grupo</w:t>
            </w:r>
          </w:p>
        </w:tc>
      </w:tr>
      <w:tr>
        <w:trPr>
          <w:cantSplit/>
        </w:trPr>
        <w:tc>
          <w:tcPr>
            <w:tcW w:type="dxa" w:w="41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Estados financieros intermedios</w:t>
            </w:r>
          </w:p>
        </w:tc>
        <w:tc>
          <w:tcPr>
            <w:tcW w:type="dxa" w:w="1800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Art. 8.3</w:t>
            </w:r>
          </w:p>
        </w:tc>
        <w:tc>
          <w:tcPr>
            <w:tcW w:type="dxa" w:w="2604"/>
            <w:tcBorders>
              <w:top w:val="single" w:color="C9D8CF" w:sz="4"/>
              <w:left w:val="single" w:color="C9D8CF" w:sz="4"/>
              <w:bottom w:val="single" w:color="C9D8CF" w:sz="4"/>
              <w:right w:val="single" w:color="C9D8CF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No procede: no hay supervisor</w:t>
            </w:r>
          </w:p>
        </w:tc>
      </w:tr>
    </w:tbl>
    <w:p>
      <w:pPr>
        <w:spacing w:after="10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[Si falta algún documento o dato, indíquese aquí la causa, conforme al artículo 9 TRLC.]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single" w:color="1E5B3F" w:sz="24"/>
              <w:bottom w:val="none" w:color="FFFFFF" w:sz="0"/>
              <w:right w:val="none" w:color="FFFFFF" w:sz="0"/>
            </w:tcBorders>
            <w:shd w:fill="EAF3EE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5B3F"/>
                <w:sz w:val="22"/>
                <w:szCs w:val="22"/>
              </w:rPr>
              <w:t xml:space="preserve">Nota ConcursalIA · Omisión e inexactitud</w:t>
            </w:r>
          </w:p>
          <w:p>
            <w:p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 aportar un documento no es lo mismo que aportarlo con errores. La omisión puede llevar a un requerimiento de subsanación, con un único plazo de hasta tres días, y a la inadmisión si no se atiende (arts. 9 y 11 TRLC). La inexactitud grave, en cambio, determina la calificación culpable del concurso (art. 443.4.º TRLC).</w:t>
            </w:r>
          </w:p>
          <w:p>
            <w:pPr>
              <w:spacing w:after="60" w:line="276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El Tribunal Supremo exige que la inexactitud tenga trascendencia informativa relevante y advierte de que el deudor no puede excusarse en haber delegado en un tercero la confección de los documentos (STS, Sala 1.ª, n.º 650/2016, de 3 de noviembre, ECLI:ES:TS:2016:4727, FD 24.º).</w:t>
            </w:r>
          </w:p>
        </w:tc>
      </w:tr>
    </w:tbl>
    <w:p>
      <w:pPr>
        <w:spacing w:after="100" w:line="240"/>
      </w:pPr>
    </w:p>
    <w:p>
      <w:pPr>
        <w:spacing w:after="160" w:line="240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5B3F" w:color="auto" w:val="clear"/>
            <w:tcMar>
              <w:top w:type="dxa" w:w="90"/>
              <w:left w:type="dxa" w:w="180"/>
              <w:bottom w:type="dxa" w:w="90"/>
              <w:right w:type="dxa" w:w="180"/>
            </w:tcMar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DECLARACIÓN Y FIRMA</w:t>
            </w:r>
          </w:p>
        </w:tc>
      </w:tr>
    </w:tbl>
    <w:p>
      <w:pPr>
        <w:spacing w:after="80" w:line="240"/>
      </w:pPr>
    </w:p>
    <w:p>
      <w:pPr>
        <w:spacing w:after="10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administradora única declara que el contenido de esta memoria y de los documentos que la acompañan refleja fielmente la situación de la sociedad a la fecha de su firma.</w:t>
      </w:r>
    </w:p>
    <w:p>
      <w:pPr>
        <w:spacing w:after="80" w:line="240"/>
      </w:pPr>
    </w:p>
    <w:p>
      <w:pPr>
        <w:spacing w:after="400"/>
      </w:pPr>
      <w:r>
        <w:rPr>
          <w:rFonts w:ascii="Arial" w:cs="Arial" w:eastAsia="Arial" w:hAnsi="Arial"/>
          <w:sz w:val="22"/>
          <w:szCs w:val="22"/>
        </w:rPr>
        <w:t xml:space="preserve">En [●], a [●] de [●] de 2026.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Fdo.: D.ª Laura Ejemplo Martín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Administradora única de MANUFACTURAS EJEMPLO, S.L.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single" w:color="8A8A8A" w:sz="24"/>
              <w:bottom w:val="none" w:color="FFFFFF" w:sz="0"/>
              <w:right w:val="none" w:color="FFFFFF" w:sz="0"/>
            </w:tcBorders>
            <w:shd w:fill="F3F3F3" w:color="auto" w:val="clear"/>
            <w:tcMar>
              <w:top w:type="dxa" w:w="120"/>
              <w:left w:type="dxa" w:w="220"/>
              <w:bottom w:type="dxa" w:w="120"/>
              <w:right w:type="dxa" w:w="200"/>
            </w:tcMar>
          </w:tcPr>
          <w:p>
            <w:pPr>
              <w:spacing w:after="0" w:line="260"/>
              <w:jc w:val="both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Modelo orientativo elaborado por ConcursalIA a partir de los artículos 6 a 12 del texto refundido de la Ley Concursal. Los datos son ficticios. El documento debe adaptarse a cada caso y no sustituye el asesoramiento profesional.</w:t>
            </w:r>
          </w:p>
        </w:tc>
      </w:tr>
    </w:tbl>
    <w:p>
      <w:pPr>
        <w:spacing w:after="100" w:line="240"/>
      </w:pPr>
    </w:p>
    <w:sectPr>
      <w:headerReference w:type="default" r:id="rId7"/>
      <w:footerReference w:type="default" r:id="rId8"/>
      <w:pgSz w:w="11906" w:h="16838" w:orient="portrait"/>
      <w:pgMar w:top="1701" w:right="1701" w:bottom="1701" w:left="1701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-cj2yb_sfn8ffuuvlax-t">
      <w:r>
        <w:rPr>
          <w:rStyle w:val="Hyperlink"/>
          <w:rFonts w:ascii="Arial" w:cs="Arial" w:eastAsia="Arial" w:hAnsi="Arial"/>
          <w:sz w:val="16"/>
          <w:szCs w:val="16"/>
        </w:rPr>
        <w:t xml:space="preserve">concursalai.es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 · 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5B3F" w:sz="6" w:space="4"/>
      </w:pBdr>
    </w:pPr>
    <w:r>
      <w:drawing>
        <wp:inline distT="0" distB="0" distL="0" distR="0">
          <wp:extent cx="1571625" cy="3048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80"/>
      </w:pPr>
      <w:rPr>
        <w:color w:val="1E5B3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j2yb_sfn8ffuuvlax-t" Type="http://schemas.openxmlformats.org/officeDocument/2006/relationships/hyperlink" Target="https://concursalai.es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db086908ab30edee308bc5999d8dd8b633e5a4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memoria del deudor (art. 7.1.º TRLC)</dc:title>
  <dc:creator>ConcursalIA</dc:creator>
  <cp:lastModifiedBy>Un-named</cp:lastModifiedBy>
  <cp:revision>1</cp:revision>
  <dcterms:created xsi:type="dcterms:W3CDTF">2026-09-28T11:04:24.746Z</dcterms:created>
  <dcterms:modified xsi:type="dcterms:W3CDTF">2026-09-28T11:04:24.746Z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